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Theme="majorEastAsia" w:hAnsiTheme="majorEastAsia" w:eastAsiaTheme="majorEastAsia"/>
              </w:rPr>
            </w:pPr>
            <w:r>
              <w:rPr>
                <w:rFonts w:hint="eastAsia" w:asciiTheme="majorEastAsia" w:hAnsiTheme="majorEastAsia" w:eastAsiaTheme="majorEastAsia"/>
              </w:rPr>
              <w:t>大村市記載欄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様式第５－（ロ）－①</w:t>
      </w:r>
    </w:p>
    <w:tbl>
      <w:tblPr>
        <w:tblStyle w:val="11"/>
        <w:tblW w:w="10035"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35"/>
      </w:tblGrid>
      <w:tr>
        <w:trPr/>
        <w:tc>
          <w:tcPr>
            <w:tcW w:w="10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中小企業信用保険法第２条第５項第５号の規定による認定申請書（ロ－①）</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315" w:rightChars="150"/>
              <w:jc w:val="righ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大村市長　園　田　　裕　史　殿</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ind w:left="-123"/>
              <w:rPr>
                <w:rFonts w:hint="default" w:ascii="ＭＳ ゴシック" w:hAnsi="ＭＳ ゴシック" w:eastAsia="ＭＳ ゴシック"/>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rPr>
              <w:t>申請者</w:t>
            </w:r>
          </w:p>
          <w:p>
            <w:pPr>
              <w:pStyle w:val="0"/>
              <w:ind w:left="5880" w:hanging="5880" w:hangingChars="2800"/>
              <w:rPr>
                <w:rFonts w:hint="default" w:ascii="ＭＳ ゴシック" w:hAnsi="ＭＳ ゴシック" w:eastAsia="ＭＳ ゴシック"/>
                <w:u w:val="single" w:color="auto"/>
              </w:rPr>
            </w:pP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u w:val="single" w:color="auto"/>
              </w:rPr>
              <w:t>住　所　　　</w:t>
            </w:r>
            <w:r>
              <w:rPr>
                <w:rFonts w:hint="eastAsia" w:ascii="ＭＳ ゴシック" w:hAnsi="ＭＳ ゴシック" w:eastAsia="ＭＳ ゴシック"/>
                <w:u w:val="single" w:color="auto"/>
              </w:rPr>
              <w:t xml:space="preserve">   </w:t>
            </w:r>
            <w:r>
              <w:rPr>
                <w:rFonts w:hint="eastAsia" w:ascii="ＭＳ ゴシック" w:hAnsi="ＭＳ ゴシック" w:eastAsia="ＭＳ ゴシック"/>
                <w:u w:val="single" w:color="auto"/>
              </w:rPr>
              <w:t>　　　　</w:t>
            </w:r>
            <w:r>
              <w:rPr>
                <w:rFonts w:hint="eastAsia" w:ascii="ＭＳ ゴシック" w:hAnsi="ＭＳ ゴシック" w:eastAsia="ＭＳ ゴシック"/>
                <w:u w:val="single" w:color="auto"/>
              </w:rPr>
              <w:t xml:space="preserve"> </w:t>
            </w:r>
            <w:r>
              <w:rPr>
                <w:rFonts w:hint="eastAsia" w:ascii="ＭＳ ゴシック" w:hAnsi="ＭＳ ゴシック" w:eastAsia="ＭＳ ゴシック"/>
                <w:u w:val="single" w:color="auto"/>
              </w:rPr>
              <w:t>　　　　　　　　</w:t>
            </w:r>
          </w:p>
          <w:p>
            <w:pPr>
              <w:pStyle w:val="0"/>
              <w:suppressAutoHyphens w:val="1"/>
              <w:kinsoku w:val="0"/>
              <w:wordWrap w:val="0"/>
              <w:overflowPunct w:val="0"/>
              <w:autoSpaceDE w:val="0"/>
              <w:autoSpaceDN w:val="0"/>
              <w:adjustRightInd w:val="0"/>
              <w:spacing w:line="240" w:lineRule="exact"/>
              <w:ind w:right="456" w:rightChars="217"/>
              <w:jc w:val="right"/>
              <w:textAlignment w:val="baseline"/>
              <w:rPr>
                <w:rFonts w:hint="default" w:ascii="ＭＳ ゴシック" w:hAnsi="ＭＳ ゴシック" w:eastAsia="ＭＳ ゴシック"/>
                <w:color w:val="000000"/>
                <w:spacing w:val="16"/>
                <w:kern w:val="0"/>
              </w:rPr>
            </w:pPr>
            <w:bookmarkStart w:id="0" w:name="_GoBack"/>
            <w:bookmarkEnd w:id="0"/>
            <w:r>
              <w:rPr>
                <w:rFonts w:hint="eastAsia" w:ascii="ＭＳ ゴシック" w:hAnsi="ＭＳ ゴシック" w:eastAsia="ＭＳ ゴシック"/>
                <w:color w:val="000000"/>
                <w:kern w:val="0"/>
                <w:u w:val="single" w:color="000000"/>
              </w:rPr>
              <w:t>氏　名　（名称及び代表者の氏名）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ind w:left="5880" w:hanging="5880" w:hangingChars="2800"/>
              <w:rPr>
                <w:rFonts w:hint="default" w:ascii="ＭＳ ゴシック" w:hAnsi="ＭＳ ゴシック" w:eastAsia="ＭＳ ゴシック"/>
                <w:u w:val="single" w:color="auto"/>
              </w:rPr>
            </w:pPr>
          </w:p>
          <w:p>
            <w:pPr>
              <w:pStyle w:val="0"/>
              <w:ind w:left="60" w:leftChars="0" w:firstLine="0" w:firstLineChars="0"/>
              <w:rPr>
                <w:rFonts w:hint="default" w:ascii="ＭＳ ゴシック" w:hAnsi="ＭＳ ゴシック" w:eastAsia="ＭＳ ゴシック"/>
                <w:color w:val="000000"/>
                <w:spacing w:val="16"/>
                <w:kern w:val="0"/>
              </w:rPr>
            </w:pPr>
            <w:r>
              <w:rPr>
                <w:rFonts w:hint="eastAsia" w:ascii="ＭＳ ゴシック" w:hAnsi="ＭＳ ゴシック" w:eastAsia="ＭＳ ゴシック"/>
              </w:rPr>
              <w:t>　</w:t>
            </w:r>
            <w:r>
              <w:rPr>
                <w:rFonts w:hint="eastAsia" w:ascii="ＭＳ ゴシック" w:hAnsi="ＭＳ ゴシック" w:eastAsia="ＭＳ ゴシック"/>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20"/>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63"/>
              <w:gridCol w:w="3265"/>
              <w:gridCol w:w="3265"/>
            </w:tblGrid>
            <w:tr>
              <w:trPr>
                <w:trHeight w:val="366" w:hRule="atLeast"/>
              </w:trPr>
              <w:tc>
                <w:tcPr>
                  <w:tcW w:w="32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2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1" w:hRule="atLeast"/>
              </w:trPr>
              <w:tc>
                <w:tcPr>
                  <w:tcW w:w="32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2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w:t>
            </w: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1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①原油等の仕入単価の上昇（注２）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Ｅ</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上昇率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Ｅ：原油等の最近１か月間における全体の平均仕入れ単価（　　　年　　　月）</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ｅ：Ｅの期間に対応する前年１か月間の全体の平均仕入れ単価（　　　年　　　月）</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6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②原油等が売上原価に占める割合（注２）</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Ｓ</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依存率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Ｃ：最近１か月の売上原価（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Ｓ：Ｃの売上原価に対応する原油等の仕入価格</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③製品等価格への転嫁の状況（注３）</w:t>
            </w:r>
          </w:p>
          <w:p>
            <w:pPr>
              <w:pStyle w:val="0"/>
              <w:suppressAutoHyphens w:val="1"/>
              <w:kinsoku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ａ</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30" w:lineRule="exac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＝Ｐ</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Ｐ＝</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firstLine="420" w:firstLine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Ａ：最近３か月間の原油等の仕入額</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ａ：Ａの期間に対応する前年３か月間の原油等の仕入額</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円（注４）</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Ｂ：最近３か月間の売上高　</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uppressAutoHyphens w:val="1"/>
              <w:kinsoku w:val="0"/>
              <w:wordWrap w:val="0"/>
              <w:overflowPunct w:val="0"/>
              <w:autoSpaceDE w:val="0"/>
              <w:autoSpaceDN w:val="0"/>
              <w:adjustRightInd w:val="0"/>
              <w:spacing w:line="24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ｂ：Ｂの期間に対応する前年３か月間の売上高</w:t>
            </w:r>
          </w:p>
          <w:p>
            <w:pPr>
              <w:pStyle w:val="0"/>
              <w:suppressAutoHyphens w:val="1"/>
              <w:kinsoku w:val="0"/>
              <w:wordWrap w:val="0"/>
              <w:overflowPunct w:val="0"/>
              <w:autoSpaceDE w:val="0"/>
              <w:autoSpaceDN w:val="0"/>
              <w:adjustRightInd w:val="0"/>
              <w:spacing w:line="240" w:lineRule="exact"/>
              <w:ind w:firstLine="630"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円（注４）</w:t>
            </w:r>
          </w:p>
          <w:p>
            <w:pPr>
              <w:pStyle w:val="0"/>
              <w:snapToGrid w:val="0"/>
              <w:spacing w:before="120" w:beforeLines="0" w:beforeAutospacing="0"/>
              <w:ind w:firstLine="420" w:firstLineChars="200"/>
              <w:jc w:val="left"/>
              <w:rPr>
                <w:rFonts w:hint="default"/>
              </w:rPr>
            </w:pPr>
            <w:r>
              <w:rPr>
                <w:rFonts w:hint="eastAsia"/>
              </w:rPr>
              <w:t>大市商</w:t>
            </w:r>
            <w:r>
              <w:rPr>
                <w:rFonts w:hint="default"/>
              </w:rPr>
              <w:t xml:space="preserve"> </w:t>
            </w:r>
            <w:r>
              <w:rPr>
                <w:rFonts w:hint="eastAsia"/>
              </w:rPr>
              <w:t>第　　</w:t>
            </w:r>
            <w:r>
              <w:rPr>
                <w:rFonts w:hint="default"/>
              </w:rPr>
              <w:t xml:space="preserve">  </w:t>
            </w:r>
            <w:r>
              <w:rPr>
                <w:rFonts w:hint="eastAsia"/>
              </w:rPr>
              <w:t>　号</w:t>
            </w:r>
          </w:p>
          <w:p>
            <w:pPr>
              <w:pStyle w:val="0"/>
              <w:snapToGrid w:val="0"/>
              <w:ind w:left="440" w:firstLine="210" w:firstLineChars="100"/>
              <w:rPr>
                <w:rFonts w:hint="default"/>
              </w:rPr>
            </w:pPr>
            <w:r>
              <w:rPr>
                <w:rFonts w:hint="eastAsia"/>
              </w:rPr>
              <w:t>　　年　　月　　日</w:t>
            </w:r>
          </w:p>
          <w:p>
            <w:pPr>
              <w:pStyle w:val="0"/>
              <w:snapToGrid w:val="0"/>
              <w:rPr>
                <w:rFonts w:hint="default"/>
              </w:rPr>
            </w:pPr>
            <w:r>
              <w:rPr>
                <w:rFonts w:hint="eastAsia"/>
              </w:rPr>
              <w:t>　　　申請のとおり、相違ないことを認定します。</w:t>
            </w:r>
          </w:p>
          <w:p>
            <w:pPr>
              <w:pStyle w:val="0"/>
              <w:snapToGrid w:val="0"/>
              <w:ind w:firstLine="630" w:firstLineChars="300"/>
              <w:rPr>
                <w:rFonts w:hint="default"/>
              </w:rPr>
            </w:pPr>
            <w:r>
              <w:rPr>
                <w:rFonts w:hint="eastAsia"/>
              </w:rPr>
              <w:t>（注）信用保証協会への申込期間：　　　年　　月　　日から　　　年　　月　　日まで</w:t>
            </w:r>
          </w:p>
          <w:p>
            <w:pPr>
              <w:pStyle w:val="0"/>
              <w:suppressAutoHyphens w:val="1"/>
              <w:kinsoku w:val="0"/>
              <w:wordWrap w:val="0"/>
              <w:overflowPunct w:val="0"/>
              <w:autoSpaceDE w:val="0"/>
              <w:autoSpaceDN w:val="0"/>
              <w:adjustRightInd w:val="0"/>
              <w:spacing w:line="240" w:lineRule="exact"/>
              <w:ind w:firstLine="6090" w:firstLineChars="2900"/>
              <w:jc w:val="left"/>
              <w:textAlignment w:val="baseline"/>
              <w:rPr>
                <w:rFonts w:hint="default" w:ascii="ＭＳ ゴシック" w:hAnsi="ＭＳ ゴシック" w:eastAsia="ＭＳ ゴシック"/>
                <w:color w:val="000000"/>
                <w:spacing w:val="16"/>
                <w:kern w:val="0"/>
              </w:rPr>
            </w:pPr>
            <w:r>
              <w:rPr>
                <w:rFonts w:hint="eastAsia"/>
              </w:rPr>
              <w:t>大村市長　　園　田</w:t>
            </w:r>
            <w:r>
              <w:rPr>
                <w:rFonts w:hint="default"/>
              </w:rPr>
              <w:t xml:space="preserve"> </w:t>
            </w:r>
            <w:r>
              <w:rPr>
                <w:rFonts w:hint="eastAsia"/>
              </w:rPr>
              <w:t>　裕　史　</w:t>
            </w:r>
            <w:r>
              <w:rPr>
                <w:rFonts w:hint="default"/>
              </w:rPr>
              <w:t xml:space="preserve"> </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spacing w:line="23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（注２）上昇率及び依存率が２０％以上となっていること。</w:t>
      </w:r>
    </w:p>
    <w:p>
      <w:pPr>
        <w:pStyle w:val="0"/>
        <w:suppressAutoHyphens w:val="1"/>
        <w:spacing w:line="230" w:lineRule="exact"/>
        <w:ind w:left="738" w:hanging="738"/>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（注３）Ｐ＞０となっていること。</w:t>
      </w:r>
    </w:p>
    <w:p>
      <w:pPr>
        <w:pStyle w:val="0"/>
        <w:suppressAutoHyphens w:val="1"/>
        <w:wordWrap w:val="0"/>
        <w:spacing w:line="240" w:lineRule="exact"/>
        <w:ind w:left="180" w:hanging="180"/>
        <w:jc w:val="left"/>
        <w:textAlignment w:val="baseline"/>
        <w:rPr>
          <w:rFonts w:hint="default" w:asciiTheme="minorEastAsia" w:hAnsiTheme="minorEastAsia"/>
          <w:color w:val="000000"/>
          <w:spacing w:val="16"/>
          <w:kern w:val="0"/>
        </w:rPr>
      </w:pPr>
      <w:r>
        <w:rPr>
          <w:rFonts w:hint="eastAsia" w:ascii="ＭＳ ゴシック" w:hAnsi="ＭＳ ゴシック" w:eastAsia="ＭＳ ゴシック"/>
          <w:color w:val="000000"/>
          <w:kern w:val="0"/>
        </w:rPr>
        <w:t>（注４）申請者全体の値を記載。</w:t>
      </w:r>
    </w:p>
    <w:p>
      <w:pPr>
        <w:pStyle w:val="0"/>
        <w:suppressAutoHyphens w:val="1"/>
        <w:wordWrap w:val="0"/>
        <w:spacing w:line="240" w:lineRule="exact"/>
        <w:ind w:left="180" w:hanging="180"/>
        <w:jc w:val="left"/>
        <w:textAlignment w:val="baseline"/>
        <w:rPr>
          <w:rFonts w:hint="default" w:asciiTheme="minorEastAsia" w:hAnsiTheme="minorEastAsia"/>
          <w:color w:val="000000"/>
          <w:spacing w:val="16"/>
          <w:kern w:val="0"/>
        </w:rPr>
      </w:pPr>
      <w:r>
        <w:rPr>
          <w:rFonts w:hint="eastAsia" w:ascii="ＭＳ Ｐ明朝" w:hAnsi="ＭＳ Ｐ明朝" w:eastAsia="ＭＳ Ｐ明朝"/>
          <w:sz w:val="20"/>
        </w:rPr>
        <w:t>（留意事項）　</w:t>
      </w:r>
    </w:p>
    <w:p>
      <w:pPr>
        <w:pStyle w:val="0"/>
        <w:snapToGrid w:val="0"/>
        <w:spacing w:line="240" w:lineRule="atLeast"/>
        <w:ind w:left="315" w:leftChars="150"/>
        <w:jc w:val="left"/>
        <w:rPr>
          <w:rFonts w:hint="default" w:ascii="ＭＳ Ｐ明朝" w:hAnsi="ＭＳ Ｐ明朝" w:eastAsia="ＭＳ Ｐ明朝"/>
          <w:sz w:val="20"/>
        </w:rPr>
      </w:pPr>
      <w:r>
        <w:rPr>
          <w:rFonts w:hint="eastAsia" w:ascii="ＭＳ Ｐ明朝" w:hAnsi="ＭＳ Ｐ明朝" w:eastAsia="ＭＳ Ｐ明朝"/>
          <w:sz w:val="20"/>
        </w:rPr>
        <w:t>①　本認定とは別に、金融機関及び信用保証協会による金融上の審査があります。</w:t>
      </w:r>
    </w:p>
    <w:p>
      <w:pPr>
        <w:pStyle w:val="0"/>
        <w:snapToGrid w:val="0"/>
        <w:spacing w:line="240" w:lineRule="atLeast"/>
        <w:ind w:left="511" w:leftChars="150" w:hanging="196" w:hangingChars="98"/>
        <w:jc w:val="left"/>
        <w:rPr>
          <w:rFonts w:hint="default"/>
        </w:rPr>
      </w:pPr>
      <w:r>
        <w:rPr>
          <w:rFonts w:hint="eastAsia" w:ascii="ＭＳ Ｐ明朝" w:hAnsi="ＭＳ Ｐ明朝" w:eastAsia="ＭＳ Ｐ明朝"/>
          <w:sz w:val="20"/>
        </w:rPr>
        <w:t>②　</w:t>
      </w:r>
      <w:r>
        <w:rPr>
          <w:rFonts w:hint="eastAsia" w:ascii="ＭＳ ゴシック" w:hAnsi="ＭＳ ゴシック" w:eastAsia="ＭＳ ゴシック"/>
        </w:rPr>
        <w:t>市町村長又は特別区長から認定を受けた日から３０日以内に金融機関又は信用保証協会に対して、保証の申込みを行うことが必要です。</w:t>
      </w:r>
    </w:p>
    <w:sectPr>
      <w:pgSz w:w="11906" w:h="16838"/>
      <w:pgMar w:top="567" w:right="1134"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1"/>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jc w:val="both"/>
    </w:pPr>
    <w:rPr>
      <w:kern w:val="2"/>
      <w:sz w:val="24"/>
    </w:rPr>
  </w:style>
  <w:style w:type="paragraph" w:styleId="16">
    <w:name w:val="header"/>
    <w:basedOn w:val="0"/>
    <w:next w:val="16"/>
    <w:link w:val="17"/>
    <w:uiPriority w:val="0"/>
    <w:pPr>
      <w:tabs>
        <w:tab w:val="center" w:leader="none" w:pos="4252"/>
        <w:tab w:val="right" w:leader="none" w:pos="8504"/>
      </w:tabs>
      <w:snapToGrid w:val="0"/>
    </w:pPr>
    <w:rPr>
      <w:sz w:val="24"/>
    </w:rPr>
  </w:style>
  <w:style w:type="character" w:styleId="17" w:customStyle="1">
    <w:name w:val="ヘッダー (文字)"/>
    <w:basedOn w:val="10"/>
    <w:next w:val="17"/>
    <w:link w:val="16"/>
    <w:uiPriority w:val="0"/>
    <w:rPr>
      <w:kern w:val="2"/>
      <w:sz w:val="24"/>
    </w:rPr>
  </w:style>
  <w:style w:type="paragraph" w:styleId="18">
    <w:name w:val="footer"/>
    <w:basedOn w:val="0"/>
    <w:next w:val="18"/>
    <w:link w:val="19"/>
    <w:uiPriority w:val="0"/>
    <w:pPr>
      <w:tabs>
        <w:tab w:val="center" w:leader="none" w:pos="4252"/>
        <w:tab w:val="right" w:leader="none" w:pos="8504"/>
      </w:tabs>
      <w:snapToGrid w:val="0"/>
    </w:pPr>
    <w:rPr>
      <w:sz w:val="24"/>
    </w:rPr>
  </w:style>
  <w:style w:type="character" w:styleId="19" w:customStyle="1">
    <w:name w:val="フッター (文字)"/>
    <w:basedOn w:val="10"/>
    <w:next w:val="19"/>
    <w:link w:val="18"/>
    <w:uiPriority w:val="0"/>
    <w:rPr>
      <w:kern w:val="2"/>
      <w:sz w:val="24"/>
    </w:rPr>
  </w:style>
  <w:style w:type="paragraph" w:styleId="20">
    <w:name w:val="Closing"/>
    <w:basedOn w:val="0"/>
    <w:next w:val="20"/>
    <w:link w:val="21"/>
    <w:uiPriority w:val="0"/>
    <w:pPr>
      <w:jc w:val="right"/>
    </w:pPr>
    <w:rPr>
      <w:rFonts w:ascii="ＭＳ ゴシック" w:hAnsi="ＭＳ ゴシック" w:eastAsia="ＭＳ ゴシック"/>
      <w:color w:val="000000"/>
      <w:kern w:val="0"/>
    </w:rPr>
  </w:style>
  <w:style w:type="character" w:styleId="21" w:customStyle="1">
    <w:name w:val="結語 (文字)"/>
    <w:basedOn w:val="10"/>
    <w:next w:val="21"/>
    <w:link w:val="20"/>
    <w:uiPriority w:val="0"/>
    <w:rPr>
      <w:rFonts w:ascii="ＭＳ ゴシック" w:hAnsi="ＭＳ ゴシック" w:eastAsia="ＭＳ ゴシック"/>
      <w:color w:val="000000"/>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TotalTime>
  <Pages>2</Pages>
  <Words>3</Words>
  <Characters>950</Characters>
  <Application>JUST Note</Application>
  <Lines>72</Lines>
  <Paragraphs>46</Paragraphs>
  <CharactersWithSpaces>1562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h24-102</dc:creator>
  <cp:lastModifiedBy>森 聖也</cp:lastModifiedBy>
  <dcterms:created xsi:type="dcterms:W3CDTF">2012-10-15T02:36:00Z</dcterms:created>
  <dcterms:modified xsi:type="dcterms:W3CDTF">2024-11-19T03:32:20Z</dcterms:modified>
  <cp:revision>13</cp:revision>
</cp:coreProperties>
</file>