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ascii="ＭＳ 明朝" w:hAnsi="ＭＳ 明朝" w:eastAsia="ＭＳ 明朝"/>
          <w:strike w:val="0"/>
          <w:dstrike w:val="0"/>
          <w:color w:val="auto"/>
          <w:sz w:val="22"/>
        </w:rPr>
      </w:pPr>
      <w:r>
        <w:rPr>
          <w:rFonts w:hint="eastAsia" w:ascii="ＭＳ 明朝" w:hAnsi="ＭＳ 明朝" w:eastAsia="ＭＳ 明朝"/>
          <w:strike w:val="0"/>
          <w:dstrike w:val="0"/>
          <w:color w:val="auto"/>
          <w:sz w:val="20"/>
        </w:rPr>
        <w:t>（特定乳児等通園支援事業者用）</w:t>
      </w:r>
    </w:p>
    <w:p>
      <w:pPr>
        <w:pStyle w:val="0"/>
        <w:jc w:val="right"/>
        <w:rPr>
          <w:rFonts w:hint="eastAsia" w:ascii="ＭＳ 明朝" w:hAnsi="ＭＳ 明朝" w:eastAsia="ＭＳ 明朝"/>
          <w:strike w:val="0"/>
          <w:dstrike w:val="0"/>
          <w:color w:val="auto"/>
          <w:sz w:val="22"/>
        </w:rPr>
      </w:pPr>
    </w:p>
    <w:p>
      <w:pPr>
        <w:pStyle w:val="0"/>
        <w:jc w:val="right"/>
        <w:rPr>
          <w:rFonts w:hint="eastAsia" w:ascii="ＭＳ 明朝" w:hAnsi="ＭＳ 明朝" w:eastAsia="ＭＳ 明朝"/>
          <w:strike w:val="0"/>
          <w:dstrike w:val="0"/>
          <w:color w:val="auto"/>
          <w:sz w:val="22"/>
        </w:rPr>
      </w:pPr>
    </w:p>
    <w:p>
      <w:pPr>
        <w:pStyle w:val="0"/>
        <w:jc w:val="left"/>
        <w:rPr>
          <w:rFonts w:hint="eastAsia" w:ascii="ＭＳ 明朝" w:hAnsi="ＭＳ 明朝" w:eastAsia="ＭＳ 明朝"/>
          <w:strike w:val="0"/>
          <w:dstrike w:val="0"/>
          <w:color w:val="auto"/>
          <w:sz w:val="22"/>
        </w:rPr>
      </w:pPr>
      <w:r>
        <w:rPr>
          <w:rFonts w:hint="eastAsia" w:ascii="ＭＳ 明朝" w:hAnsi="ＭＳ 明朝" w:eastAsia="ＭＳ 明朝"/>
          <w:strike w:val="0"/>
          <w:dstrike w:val="0"/>
          <w:color w:val="auto"/>
          <w:sz w:val="22"/>
        </w:rPr>
        <w:t>大村市長　様</w:t>
      </w:r>
    </w:p>
    <w:p>
      <w:pPr>
        <w:pStyle w:val="0"/>
        <w:jc w:val="center"/>
        <w:rPr>
          <w:rFonts w:hint="eastAsia" w:ascii="ＭＳ 明朝" w:hAnsi="ＭＳ 明朝" w:eastAsia="ＭＳ 明朝"/>
          <w:strike w:val="0"/>
          <w:dstrike w:val="0"/>
          <w:color w:val="auto"/>
          <w:sz w:val="22"/>
        </w:rPr>
      </w:pPr>
    </w:p>
    <w:p>
      <w:pPr>
        <w:pStyle w:val="0"/>
        <w:jc w:val="center"/>
        <w:rPr>
          <w:rFonts w:hint="eastAsia" w:ascii="ＭＳ 明朝" w:hAnsi="ＭＳ 明朝" w:eastAsia="ＭＳ 明朝"/>
          <w:strike w:val="0"/>
          <w:dstrike w:val="0"/>
          <w:color w:val="auto"/>
          <w:sz w:val="22"/>
        </w:rPr>
      </w:pPr>
    </w:p>
    <w:p>
      <w:pPr>
        <w:pStyle w:val="0"/>
        <w:jc w:val="center"/>
        <w:rPr>
          <w:rFonts w:hint="eastAsia" w:ascii="ＭＳ 明朝" w:hAnsi="ＭＳ 明朝" w:eastAsia="ＭＳ 明朝"/>
          <w:strike w:val="0"/>
          <w:dstrike w:val="0"/>
          <w:color w:val="auto"/>
          <w:sz w:val="22"/>
        </w:rPr>
      </w:pPr>
      <w:r>
        <w:rPr>
          <w:rFonts w:hint="eastAsia" w:ascii="ＭＳ 明朝" w:hAnsi="ＭＳ 明朝" w:eastAsia="ＭＳ 明朝"/>
          <w:strike w:val="0"/>
          <w:dstrike w:val="0"/>
          <w:color w:val="auto"/>
          <w:sz w:val="32"/>
        </w:rPr>
        <w:t>誓約書</w:t>
      </w:r>
    </w:p>
    <w:p>
      <w:pPr>
        <w:pStyle w:val="0"/>
        <w:jc w:val="center"/>
        <w:rPr>
          <w:rFonts w:hint="eastAsia" w:ascii="ＭＳ 明朝" w:hAnsi="ＭＳ 明朝" w:eastAsia="ＭＳ 明朝"/>
          <w:strike w:val="0"/>
          <w:dstrike w:val="0"/>
          <w:color w:val="auto"/>
          <w:sz w:val="22"/>
        </w:rPr>
      </w:pPr>
    </w:p>
    <w:p>
      <w:pPr>
        <w:pStyle w:val="0"/>
        <w:jc w:val="center"/>
        <w:rPr>
          <w:rFonts w:hint="eastAsia" w:ascii="ＭＳ 明朝" w:hAnsi="ＭＳ 明朝" w:eastAsia="ＭＳ 明朝"/>
          <w:strike w:val="0"/>
          <w:dstrike w:val="0"/>
          <w:color w:val="auto"/>
          <w:sz w:val="22"/>
        </w:rPr>
      </w:pPr>
    </w:p>
    <w:p>
      <w:pPr>
        <w:pStyle w:val="0"/>
        <w:ind w:firstLine="220" w:firstLineChars="100"/>
        <w:jc w:val="left"/>
        <w:rPr>
          <w:rFonts w:hint="eastAsia" w:ascii="ＭＳ 明朝" w:hAnsi="ＭＳ 明朝" w:eastAsia="ＭＳ 明朝"/>
          <w:strike w:val="0"/>
          <w:dstrike w:val="0"/>
          <w:color w:val="auto"/>
          <w:sz w:val="22"/>
        </w:rPr>
      </w:pPr>
      <w:r>
        <w:rPr>
          <w:rFonts w:hint="eastAsia" w:ascii="ＭＳ 明朝" w:hAnsi="ＭＳ 明朝" w:eastAsia="ＭＳ 明朝"/>
          <w:strike w:val="0"/>
          <w:dstrike w:val="0"/>
          <w:color w:val="auto"/>
          <w:sz w:val="22"/>
        </w:rPr>
        <w:t>特定乳児等通園支援事業者及びその役員並びに特定乳児等通園支援事業所の管理者は子ども・子育て支援法第５４条の３に準用する第５２条第２項に規定する確認の申請をすることができない者に該当しないことを誓約します。</w:t>
      </w:r>
    </w:p>
    <w:p>
      <w:pPr>
        <w:pStyle w:val="0"/>
        <w:ind w:leftChars="0" w:firstLine="0" w:firstLineChars="0"/>
        <w:jc w:val="left"/>
        <w:rPr>
          <w:rFonts w:hint="eastAsia" w:ascii="ＭＳ 明朝" w:hAnsi="ＭＳ 明朝" w:eastAsia="ＭＳ 明朝"/>
          <w:strike w:val="0"/>
          <w:dstrike w:val="0"/>
          <w:color w:val="auto"/>
          <w:sz w:val="22"/>
        </w:rPr>
      </w:pPr>
    </w:p>
    <w:p>
      <w:pPr>
        <w:pStyle w:val="0"/>
        <w:ind w:leftChars="0" w:firstLine="0" w:firstLineChars="0"/>
        <w:jc w:val="left"/>
        <w:rPr>
          <w:rFonts w:hint="eastAsia" w:ascii="ＭＳ 明朝" w:hAnsi="ＭＳ 明朝" w:eastAsia="ＭＳ 明朝"/>
          <w:strike w:val="0"/>
          <w:dstrike w:val="0"/>
          <w:color w:val="auto"/>
          <w:sz w:val="22"/>
        </w:rPr>
      </w:pPr>
    </w:p>
    <w:p>
      <w:pPr>
        <w:pStyle w:val="0"/>
        <w:ind w:left="0" w:leftChars="0" w:firstLine="440" w:firstLineChars="200"/>
        <w:jc w:val="left"/>
        <w:rPr>
          <w:rFonts w:hint="eastAsia" w:ascii="ＭＳ 明朝" w:hAnsi="ＭＳ 明朝" w:eastAsia="ＭＳ 明朝"/>
          <w:strike w:val="0"/>
          <w:dstrike w:val="0"/>
          <w:color w:val="auto"/>
          <w:sz w:val="22"/>
        </w:rPr>
      </w:pPr>
      <w:bookmarkStart w:id="0" w:name="_GoBack"/>
      <w:bookmarkEnd w:id="0"/>
      <w:r>
        <w:rPr>
          <w:rFonts w:hint="eastAsia" w:ascii="ＭＳ 明朝" w:hAnsi="ＭＳ 明朝" w:eastAsia="ＭＳ 明朝"/>
          <w:strike w:val="0"/>
          <w:dstrike w:val="0"/>
          <w:color w:val="auto"/>
          <w:sz w:val="22"/>
        </w:rPr>
        <w:t>令和　　年　　月　　日</w:t>
      </w:r>
    </w:p>
    <w:p>
      <w:pPr>
        <w:pStyle w:val="0"/>
        <w:ind w:left="0" w:leftChars="0" w:firstLine="0" w:firstLineChars="0"/>
        <w:jc w:val="left"/>
        <w:rPr>
          <w:rFonts w:hint="eastAsia" w:ascii="ＭＳ 明朝" w:hAnsi="ＭＳ 明朝" w:eastAsia="ＭＳ 明朝"/>
          <w:strike w:val="0"/>
          <w:dstrike w:val="0"/>
          <w:color w:val="auto"/>
          <w:sz w:val="22"/>
        </w:rPr>
      </w:pPr>
    </w:p>
    <w:p>
      <w:pPr>
        <w:pStyle w:val="0"/>
        <w:wordWrap w:val="0"/>
        <w:ind w:left="0" w:leftChars="0" w:firstLine="0" w:firstLineChars="0"/>
        <w:jc w:val="right"/>
        <w:rPr>
          <w:rFonts w:hint="eastAsia" w:ascii="ＭＳ 明朝" w:hAnsi="ＭＳ 明朝" w:eastAsia="ＭＳ 明朝"/>
          <w:strike w:val="0"/>
          <w:dstrike w:val="0"/>
          <w:color w:val="auto"/>
          <w:sz w:val="22"/>
        </w:rPr>
      </w:pPr>
      <w:r>
        <w:rPr>
          <w:rFonts w:hint="eastAsia" w:ascii="ＭＳ 明朝" w:hAnsi="ＭＳ 明朝" w:eastAsia="ＭＳ 明朝"/>
          <w:strike w:val="0"/>
          <w:dstrike w:val="0"/>
          <w:color w:val="auto"/>
          <w:spacing w:val="330"/>
          <w:sz w:val="22"/>
          <w:fitText w:val="1100" w:id="1"/>
        </w:rPr>
        <w:t>住</w:t>
      </w:r>
      <w:r>
        <w:rPr>
          <w:rFonts w:hint="eastAsia" w:ascii="ＭＳ 明朝" w:hAnsi="ＭＳ 明朝" w:eastAsia="ＭＳ 明朝"/>
          <w:strike w:val="0"/>
          <w:dstrike w:val="0"/>
          <w:color w:val="auto"/>
          <w:sz w:val="22"/>
          <w:fitText w:val="1100" w:id="1"/>
        </w:rPr>
        <w:t>所</w:t>
      </w:r>
      <w:r>
        <w:rPr>
          <w:rFonts w:hint="eastAsia" w:ascii="ＭＳ 明朝" w:hAnsi="ＭＳ 明朝" w:eastAsia="ＭＳ 明朝"/>
          <w:strike w:val="0"/>
          <w:dstrike w:val="0"/>
          <w:color w:val="auto"/>
          <w:sz w:val="22"/>
        </w:rPr>
        <w:t>　　　　　　　　　　　　　　</w:t>
      </w:r>
    </w:p>
    <w:p>
      <w:pPr>
        <w:pStyle w:val="0"/>
        <w:wordWrap w:val="0"/>
        <w:ind w:left="0" w:leftChars="0" w:firstLine="0" w:firstLineChars="0"/>
        <w:jc w:val="right"/>
        <w:rPr>
          <w:rFonts w:hint="eastAsia" w:ascii="ＭＳ 明朝" w:hAnsi="ＭＳ 明朝" w:eastAsia="ＭＳ 明朝"/>
          <w:strike w:val="0"/>
          <w:dstrike w:val="0"/>
          <w:color w:val="auto"/>
          <w:sz w:val="22"/>
        </w:rPr>
      </w:pPr>
      <w:r>
        <w:rPr>
          <w:rFonts w:hint="eastAsia" w:ascii="ＭＳ 明朝" w:hAnsi="ＭＳ 明朝" w:eastAsia="ＭＳ 明朝"/>
          <w:strike w:val="0"/>
          <w:dstrike w:val="0"/>
          <w:color w:val="auto"/>
          <w:spacing w:val="110"/>
          <w:sz w:val="22"/>
          <w:fitText w:val="1100" w:id="2"/>
        </w:rPr>
        <w:t>法人</w:t>
      </w:r>
      <w:r>
        <w:rPr>
          <w:rFonts w:hint="eastAsia" w:ascii="ＭＳ 明朝" w:hAnsi="ＭＳ 明朝" w:eastAsia="ＭＳ 明朝"/>
          <w:strike w:val="0"/>
          <w:dstrike w:val="0"/>
          <w:color w:val="auto"/>
          <w:sz w:val="22"/>
          <w:fitText w:val="1100" w:id="2"/>
        </w:rPr>
        <w:t>名</w:t>
      </w:r>
      <w:r>
        <w:rPr>
          <w:rFonts w:hint="eastAsia" w:ascii="ＭＳ 明朝" w:hAnsi="ＭＳ 明朝" w:eastAsia="ＭＳ 明朝"/>
          <w:strike w:val="0"/>
          <w:dstrike w:val="0"/>
          <w:color w:val="auto"/>
          <w:sz w:val="22"/>
        </w:rPr>
        <w:t>　　　　　　　　　　　　　　</w:t>
      </w:r>
    </w:p>
    <w:p>
      <w:pPr>
        <w:pStyle w:val="0"/>
        <w:wordWrap w:val="0"/>
        <w:ind w:left="0" w:leftChars="0" w:firstLine="0" w:firstLineChars="0"/>
        <w:jc w:val="right"/>
        <w:rPr>
          <w:rFonts w:hint="eastAsia" w:ascii="ＭＳ 明朝" w:hAnsi="ＭＳ 明朝" w:eastAsia="ＭＳ 明朝"/>
          <w:strike w:val="0"/>
          <w:dstrike w:val="0"/>
          <w:color w:val="auto"/>
          <w:sz w:val="22"/>
        </w:rPr>
      </w:pPr>
      <w:r>
        <w:rPr>
          <w:rFonts w:hint="eastAsia" w:ascii="ＭＳ 明朝" w:hAnsi="ＭＳ 明朝" w:eastAsia="ＭＳ 明朝"/>
          <w:strike w:val="0"/>
          <w:dstrike w:val="0"/>
          <w:color w:val="auto"/>
          <w:sz w:val="22"/>
        </w:rPr>
        <w:t>代表者氏名　　　　　　　　　　　　　印</w:t>
      </w:r>
    </w:p>
    <w:p>
      <w:pPr>
        <w:pStyle w:val="0"/>
        <w:ind w:left="0" w:leftChars="0" w:right="540" w:rightChars="300" w:firstLine="0" w:firstLineChars="0"/>
        <w:jc w:val="left"/>
        <w:rPr>
          <w:rFonts w:hint="eastAsia" w:ascii="ＭＳ 明朝" w:hAnsi="ＭＳ 明朝" w:eastAsia="ＭＳ 明朝"/>
          <w:strike w:val="0"/>
          <w:dstrike w:val="0"/>
          <w:color w:val="auto"/>
          <w:sz w:val="20"/>
        </w:rPr>
      </w:pPr>
    </w:p>
    <w:p>
      <w:pPr>
        <w:pStyle w:val="0"/>
        <w:ind w:left="0" w:leftChars="0" w:right="540" w:rightChars="300" w:firstLine="0" w:firstLineChars="0"/>
        <w:jc w:val="left"/>
        <w:rPr>
          <w:rFonts w:hint="eastAsia" w:ascii="ＭＳ 明朝" w:hAnsi="ＭＳ 明朝" w:eastAsia="ＭＳ 明朝"/>
          <w:strike w:val="0"/>
          <w:dstrike w:val="0"/>
          <w:color w:val="auto"/>
          <w:sz w:val="20"/>
        </w:rPr>
      </w:pPr>
    </w:p>
    <w:p>
      <w:pPr>
        <w:pStyle w:val="0"/>
        <w:ind w:left="0" w:leftChars="0" w:right="540" w:rightChars="300" w:firstLine="0" w:firstLineChars="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【子ども・子育て支援法</w:t>
      </w:r>
      <w:r>
        <w:rPr>
          <w:rFonts w:hint="eastAsia" w:ascii="ＭＳ 明朝" w:hAnsi="ＭＳ 明朝" w:eastAsia="ＭＳ 明朝"/>
          <w:strike w:val="0"/>
          <w:dstrike w:val="0"/>
          <w:color w:val="auto"/>
          <w:sz w:val="20"/>
        </w:rPr>
        <w:t xml:space="preserve"> </w:t>
      </w:r>
      <w:r>
        <w:rPr>
          <w:rFonts w:hint="eastAsia" w:ascii="ＭＳ 明朝" w:hAnsi="ＭＳ 明朝" w:eastAsia="ＭＳ 明朝"/>
          <w:strike w:val="0"/>
          <w:dstrike w:val="0"/>
          <w:color w:val="auto"/>
          <w:sz w:val="20"/>
        </w:rPr>
        <w:t>第５２条】</w:t>
      </w:r>
    </w:p>
    <w:p>
      <w:pPr>
        <w:pStyle w:val="0"/>
        <w:ind w:left="0" w:leftChars="0" w:right="540" w:rightChars="300" w:firstLine="0" w:firstLineChars="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（確認の取消し等）</w:t>
      </w:r>
    </w:p>
    <w:p>
      <w:pPr>
        <w:pStyle w:val="0"/>
        <w:ind w:left="200" w:hanging="200" w:hangingChars="1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　第五十二条　市町村長は、次の各号のいずれかに該当する場合においては、当該特定地域型保育事業者に係る第二十九条第一項の確認を取り消し、又は期間を定めてその確認の全部若しくは一部の効力を停止することができる。</w:t>
      </w:r>
    </w:p>
    <w:p>
      <w:pPr>
        <w:pStyle w:val="0"/>
        <w:ind w:firstLine="200" w:firstLineChars="1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一　特定地域型保育事業者が、第四十五条第五項の規定に違反したと認められるとき。</w:t>
      </w:r>
    </w:p>
    <w:p>
      <w:pPr>
        <w:pStyle w:val="0"/>
        <w:ind w:left="580" w:leftChars="100" w:hanging="400" w:hangingChars="2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二　特定地域型保育事業者が、地域型保育事業の認可基準に従って地域型保育給付費の支給に係る事業を行う者として適正な地域型保育事業の運営をすることができなくなったとき。</w:t>
      </w:r>
    </w:p>
    <w:p>
      <w:pPr>
        <w:pStyle w:val="0"/>
        <w:ind w:left="580" w:leftChars="100" w:hanging="400" w:hangingChars="2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三　特定地域型保育事業者が、第四十六条第二項の市町村の条例で定める特定地域型保育事業の運営に関する基準に従って地域型保育給付費の支給に係る事業を行う者として適正な特定地域型保育事業の運営をすることができなくなったとき。</w:t>
      </w:r>
    </w:p>
    <w:p>
      <w:pPr>
        <w:pStyle w:val="0"/>
        <w:ind w:firstLine="200" w:firstLineChars="1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四　地域型保育給付費又は特例地域型保育給付費の請求に関し不正があったとき。</w:t>
      </w:r>
    </w:p>
    <w:p>
      <w:pPr>
        <w:pStyle w:val="0"/>
        <w:ind w:left="580" w:leftChars="100" w:hanging="400" w:hangingChars="2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五　特定地域型保育事業者が、第五十条第一項の規定により報告若しくは帳簿書類その他の物件の提出若しくは提示を命ぜられてこれに従わず、又は虚偽の報告をしたとき。</w:t>
      </w:r>
    </w:p>
    <w:p>
      <w:pPr>
        <w:pStyle w:val="0"/>
        <w:ind w:left="580" w:leftChars="100" w:hanging="400" w:hangingChars="2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六　特定地域型保育事業者又はその特定地域型保育事業所の職員が、第五十条第一項の規定により出頭を求められてこれに応ぜず、同項の規定による質問に対して答弁せず、若しくは虚偽の答弁をし、又は同項の規定による検査を拒み、妨げ、若しくは忌避したとき。ただし、当該特定地域型保育事業所の職員がその行為をした場合において、その行為を防止するため、当該特定地域型保育事業者が相当の注意及び監督を尽くしたときを除く。</w:t>
      </w:r>
    </w:p>
    <w:p>
      <w:pPr>
        <w:pStyle w:val="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　七　特定地域型保育事業者が、不正の手段により第二十九条第一項の確認を受けたとき。</w:t>
      </w:r>
    </w:p>
    <w:p>
      <w:pPr>
        <w:pStyle w:val="0"/>
        <w:ind w:left="580" w:leftChars="100" w:hanging="400" w:hangingChars="2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八　前各号に掲げる場合のほか、特定地域型保育事業者が、この法律その他国民の福祉に関する法律で政令で定めるもの又はこれらの法律に基づく命令若しくは処分に違反したとき。</w:t>
      </w:r>
    </w:p>
    <w:p>
      <w:pPr>
        <w:pStyle w:val="0"/>
        <w:ind w:left="580" w:leftChars="100" w:hanging="400" w:hangingChars="2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九　前各号に掲げる場合のほか、特定地域型保育事業者が、保育に関し不正又は著しく不当な行為をしたとき。</w:t>
      </w:r>
    </w:p>
    <w:p>
      <w:pPr>
        <w:pStyle w:val="0"/>
        <w:ind w:left="580" w:leftChars="100" w:hanging="400" w:hangingChars="2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十　特定地域型保育事業者が法人である場合において、当該法人の役員又はその事業所を管理する者その他の政令で定める使用人のうちに過去五年以内に保育に関し不正又は著しく不当な行為をした者があるとき。</w:t>
      </w:r>
    </w:p>
    <w:p>
      <w:pPr>
        <w:pStyle w:val="0"/>
        <w:ind w:left="780" w:leftChars="100" w:hanging="600" w:hangingChars="3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十一　特定地域型保育事業者が法人でない場合において、その管理者が過去五年以内に保育に関し不正又は著しく不当な行為をした者であるとき。</w:t>
      </w:r>
    </w:p>
    <w:p>
      <w:pPr>
        <w:pStyle w:val="0"/>
        <w:ind w:left="380" w:leftChars="100" w:hanging="200" w:hangingChars="100"/>
        <w:jc w:val="left"/>
        <w:rPr>
          <w:rFonts w:hint="eastAsia" w:ascii="ＭＳ 明朝" w:hAnsi="ＭＳ 明朝" w:eastAsia="ＭＳ 明朝"/>
          <w:strike w:val="0"/>
          <w:dstrike w:val="0"/>
          <w:color w:val="auto"/>
          <w:sz w:val="20"/>
        </w:rPr>
      </w:pPr>
      <w:r>
        <w:rPr>
          <w:rFonts w:hint="eastAsia" w:ascii="ＭＳ 明朝" w:hAnsi="ＭＳ 明朝" w:eastAsia="ＭＳ 明朝"/>
          <w:strike w:val="0"/>
          <w:dstrike w:val="0"/>
          <w:color w:val="auto"/>
          <w:sz w:val="20"/>
        </w:rPr>
        <w:t>２　前項の規定により第二十九条第一項の確認を取り消された地域型保育事業を行う者（政令で定める者を除く。）及びこれに準ずる者として政令で定める者は、その取消しの日又はこれに準ずる日として政令で定める日から起算して五年を経過するまでの間は、第四十三条第一項の申請をすることができない。</w:t>
      </w:r>
    </w:p>
    <w:sectPr>
      <w:pgSz w:w="11906" w:h="16838"/>
      <w:pgMar w:top="1985" w:right="1701" w:bottom="1701" w:left="1701" w:header="851" w:footer="992" w:gutter="0"/>
      <w:pgBorders w:zOrder="front" w:display="allPages" w:offsetFrom="page"/>
      <w:cols w:space="720"/>
      <w:textDirection w:val="lrTb"/>
      <w:docGrid w:type="lines" w:linePitch="3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ゴシック" w:hAnsi="ＭＳ ゴシック" w:eastAsia="ＭＳ ゴシック"/>
        <w:caps w:val="0"/>
        <w:smallCaps w:val="0"/>
        <w:strike w:val="1"/>
        <w:dstrike w:val="0"/>
        <w:outline w:val="0"/>
        <w:shadow w:val="0"/>
        <w:emboss w:val="0"/>
        <w:imprint w:val="0"/>
        <w:snapToGrid w:val="1"/>
        <w:vanish w:val="0"/>
        <w:color w:val="FF6600"/>
        <w:spacing w:val="0"/>
        <w:w w:val="100"/>
        <w:kern w:val="2"/>
        <w:position w:val="0"/>
        <w:sz w:val="18"/>
        <w:u w:val="none" w:color="auto"/>
        <w:vertAlign w:val="baseline"/>
        <w:em w:val="none"/>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2</Pages>
  <Words>0</Words>
  <Characters>1273</Characters>
  <Application>JUST Note</Application>
  <Lines>55</Lines>
  <Paragraphs>23</Paragraphs>
  <Company>大村市役所</Company>
  <CharactersWithSpaces>1337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林 美夏</dc:creator>
  <cp:lastModifiedBy>林 美夏</cp:lastModifiedBy>
  <cp:lastPrinted>2026-02-26T05:02:10Z</cp:lastPrinted>
  <dcterms:created xsi:type="dcterms:W3CDTF">2026-02-26T04:47:00Z</dcterms:created>
  <dcterms:modified xsi:type="dcterms:W3CDTF">2026-02-26T05:01:23Z</dcterms:modified>
  <cp:revision>1</cp:revision>
</cp:coreProperties>
</file>